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1" w:rsidRPr="00CF40C1" w:rsidRDefault="00CF40C1" w:rsidP="00CF40C1">
      <w:pPr>
        <w:spacing w:after="12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0C1">
        <w:rPr>
          <w:rFonts w:ascii="Times New Roman" w:eastAsia="Times New Roman" w:hAnsi="Times New Roman" w:cs="Times New Roman"/>
          <w:sz w:val="36"/>
          <w:szCs w:val="36"/>
          <w:lang w:eastAsia="ru-RU"/>
        </w:rPr>
        <w:t>"Об утверждении стандартов питания в организациях здравоохранения и образования"</w:t>
      </w:r>
    </w:p>
    <w:p w:rsidR="00CF40C1" w:rsidRPr="00CF40C1" w:rsidRDefault="00CF40C1" w:rsidP="00CF40C1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Приказ Министра здравоохранения Республики Казахстан от 21 декабря 2020 года № ҚР ДСМ-302/2020. Зарегистрирован в Министерстве юстиции Республики Казахстан 22 декабря 2020 года № 21857.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" w:history="1">
        <w:r w:rsidRPr="00CF40C1">
          <w:rPr>
            <w:rFonts w:ascii="Arial" w:eastAsia="Times New Roman" w:hAnsi="Arial" w:cs="Arial"/>
            <w:color w:val="151515"/>
            <w:sz w:val="24"/>
            <w:szCs w:val="24"/>
            <w:u w:val="single"/>
            <w:bdr w:val="none" w:sz="0" w:space="0" w:color="auto" w:frame="1"/>
            <w:lang w:eastAsia="ru-RU"/>
          </w:rPr>
          <w:t>К списку</w:t>
        </w:r>
      </w:hyperlink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документаСкачать документ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В соответствии с </w:t>
      </w:r>
      <w:hyperlink r:id="rId6" w:anchor="z466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подпунктом 103)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статьи 7 Кодекса Республики Казахстан от 7 июля 2020 года "О здоровье народа и системе здравоохранения" ПРИКАЗЫВАЮ: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1. Утвердить прилагаемые </w:t>
      </w:r>
      <w:hyperlink r:id="rId7" w:anchor="z15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стандарты питания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 организациях здравоохранения и образования.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6"/>
        <w:gridCol w:w="3134"/>
      </w:tblGrid>
      <w:tr w:rsidR="00CF40C1" w:rsidRPr="00CF40C1" w:rsidTr="00CF40C1">
        <w:tc>
          <w:tcPr>
            <w:tcW w:w="6000" w:type="dxa"/>
            <w:vAlign w:val="center"/>
            <w:hideMark/>
          </w:tcPr>
          <w:p w:rsidR="00CF40C1" w:rsidRPr="00CF40C1" w:rsidRDefault="00CF40C1" w:rsidP="00CF4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C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</w:t>
            </w:r>
            <w:bookmarkStart w:id="0" w:name="z12"/>
            <w:bookmarkEnd w:id="0"/>
            <w:r w:rsidRPr="00CF40C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Министр здравоохранения</w:t>
            </w:r>
            <w:r w:rsidRPr="00CF40C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CF40C1" w:rsidRPr="00CF40C1" w:rsidRDefault="00CF40C1" w:rsidP="00CF4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C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А. Цой</w:t>
            </w:r>
          </w:p>
        </w:tc>
      </w:tr>
    </w:tbl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"СОГЛАСОВАН"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Министерство образования и науки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Республики Казахстан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F40C1" w:rsidRPr="00CF40C1" w:rsidTr="00CF40C1">
        <w:tc>
          <w:tcPr>
            <w:tcW w:w="5805" w:type="dxa"/>
            <w:vAlign w:val="center"/>
            <w:hideMark/>
          </w:tcPr>
          <w:p w:rsidR="00CF40C1" w:rsidRPr="00CF40C1" w:rsidRDefault="00CF40C1" w:rsidP="00CF4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F40C1" w:rsidRPr="00CF40C1" w:rsidRDefault="00CF40C1" w:rsidP="00CF4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z14"/>
            <w:bookmarkEnd w:id="1"/>
            <w:r w:rsidRPr="00CF4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 приказом</w:t>
            </w:r>
            <w:r w:rsidRPr="00CF4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Министр здравоохранения</w:t>
            </w:r>
            <w:r w:rsidRPr="00CF4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F4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21 декабря 2020 года № ҚР ДСМ-302/2020</w:t>
            </w:r>
          </w:p>
        </w:tc>
      </w:tr>
    </w:tbl>
    <w:p w:rsidR="00CF40C1" w:rsidRPr="00CF40C1" w:rsidRDefault="00CF40C1" w:rsidP="00CF40C1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CF40C1">
        <w:rPr>
          <w:rFonts w:ascii="Arial" w:eastAsia="Times New Roman" w:hAnsi="Arial" w:cs="Arial"/>
          <w:sz w:val="27"/>
          <w:szCs w:val="27"/>
          <w:lang w:eastAsia="ru-RU"/>
        </w:rPr>
        <w:t>Стандарты питания в организациях здравоохранения и образования</w:t>
      </w:r>
    </w:p>
    <w:p w:rsidR="00CF40C1" w:rsidRPr="00CF40C1" w:rsidRDefault="00CF40C1" w:rsidP="00CF40C1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CF40C1">
        <w:rPr>
          <w:rFonts w:ascii="Arial" w:eastAsia="Times New Roman" w:hAnsi="Arial" w:cs="Arial"/>
          <w:sz w:val="27"/>
          <w:szCs w:val="27"/>
          <w:lang w:eastAsia="ru-RU"/>
        </w:rPr>
        <w:t>Глава 1. Общие положения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1. Настоящие Стандарты питания в организациях здравоохранения и образования (далее – Стандарты) разработаны в соответствии с </w:t>
      </w:r>
      <w:hyperlink r:id="rId8" w:anchor="z466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подпунктом 103)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статьи 7 Кодекса Республики Казахстан от 7 июля 2020 года "О здоровье народа и системе здравоохранения" (далее – Кодекс) и устанавливают общие 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требования к организации питания в организациях здравоохранения и образования.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2. Термины и определения, используемые в настоящих Стандартах: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бракераж – оценка качества продуктов питания и готовых блюд по органолептическим показателям;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6) организация здравоохранения – юридическое лицо, осуществляющее деятельность в области здравоохранения;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p w:rsidR="00CF40C1" w:rsidRPr="00CF40C1" w:rsidRDefault="00CF40C1" w:rsidP="00CF40C1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CF40C1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Глава 2. Порядок организации питания в организациях образования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3. Общие принципы организации питания в организациях образования включают следующее: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соответствие энергетической ценности питания детей энергетическим затратам;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соответствие химического состава пищи физиологическим потребностям организма;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максимальное разнообразие рациона, являющееся основным условием обеспечения его сбалансированности;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4) оптимальный режим питания;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5) правильное приготовление пищи, обеспечивающее их высокие вкусовые достоинства и сохранность исходной пищевой ценности;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6) учет индивидуальных особенностей детей;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5. Нормы питания детей в организациях образования регламентированы </w:t>
      </w:r>
      <w:hyperlink r:id="rId9" w:anchor="z121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постановлением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 – %), но в полном соответствии с недельной нормой.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8. На основании перспективного меню, утвержденного органом управления образованием, составляется суточное меню, которое утверждается 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руководителем организации образования. После утверждения суточного меню все изменения в него вносятся руководителем организации.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11. При разработке меню учитываются: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продолжительность пребывания детей в организациях образования;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возрастная категория;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физические нагрузки детей.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12. С учетом возраста детей в меню соблюдаются требования: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по массе порций блюд;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их пищевой и энергетической ценности;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суточной потребности в основных витаминах и микроэлементах.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13. Меню содержит следующую информацию: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о количественном составе блюд;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энергетической и пищевой ценности, включая содержание витаминов и минеральных веществ в каждом блюде.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14. В меню не допускается повторение одних и тех же блюд или кулинарных изделий в один и тот же день или в последующие 2 – 3 дня.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17.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предусматривается не менее чем пятикратное питание. Интервалы между приемами пищи не превышают 3,5 – 4-х часов.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19. 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 Остальные продукты (творог, сметана, птица, сыр, яйцо, соки и др.) включаются 2 – 3 раза в неделю.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 </w:t>
      </w:r>
      <w:hyperlink r:id="rId10" w:anchor="z121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норм питания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 меню.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24. 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 </w:t>
      </w:r>
      <w:hyperlink r:id="rId11" w:anchor="z17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Единым перечнем товаров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</w:t>
      </w:r>
      <w:r w:rsidRPr="00CF40C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регламентами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 области безопасности пищевой продукции.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25. Поступающая пищевая продукция сопровождается документами, удостоверяющими их безопасность в соответствии с </w:t>
      </w:r>
      <w:hyperlink r:id="rId12" w:anchor="z41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Законом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   26. 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</w:t>
      </w:r>
      <w:r w:rsidRPr="00CF40C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организма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(далее – ГМО).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пищевой продукции" (ТР ТС 021/2011).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29. Пищевая продукция для детского питания отвечает следующим требованиям: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печенье для детского питания, не превышающее более 25 % добавленного сахара;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хлебобулочные изделия для детского питания, содержащие соли не более 0,5 %.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30. Пищевая продукция для детского питания не содержит: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этилового спирта более 0,2 %;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кофе натурального;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ядер абрикосовой косточки;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4) уксуса;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5) подсластителей, за исключением специализированной пищевой продукции для диетического лечебного и диетического профилактического питания.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продукты убоя продуктивных животных и птицы, подвергнутые повторному замораживанию;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сырье из рыбы и нерыбных объектов промысла, подвергнутое повторному замораживанию;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мясо продуктивных животных механической обвалки и мясо птицы механической обвалки;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4) коллагенсодержащее сырье из мяса птицы;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   5) блоки, замороженные из различных видов жилованного мяса животных, а также субпродуктов (печени, языка, сердца) со сроками годности более 6 месяцев;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6) говядина жилованная с массовой долей соединительной и жировой ткани свыше 20 %;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7) свинина жилованная с массовой долей жировой ткани свыше 70 %;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8) баранина жилованная с массовой долей жировой ткани свыше 9 %;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9) мясо быков, хряков и тощих животных;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10) субпродукты продуктивных животных и птицы, за исключением печени, языка, сердца и крови;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11) яйца и мясо водоплавающих птиц;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12) соки концентрированные диффузионные;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13) растительные масла с перекисным числом более 2 ммоль активного кислорода/килограмм (далее – кг) жира (за исключением оливкового масла); оливковое масло с перекисным числом более 2 ммоль активного кислорода/кг жира;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14) растительные масла: хлопковое;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15) гидрогенизированные масла и жиры;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16) жгучие специи (перец, хрен, горчица).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33. Питание в организациях образования организовывается в столовой, работающей на сырье или в буфете.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34. В организациях образования с числом учащихся более 100 человек предусматриваются столовые.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35. Столовые имеют набор оборудования и помещений в соответствии с требованиями действующих санитарных правил.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 </w:t>
      </w:r>
      <w:hyperlink r:id="rId13" w:anchor="z68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Единых санитарно-эпидемиологических и гигиенических требований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 товарам, подлежащим санитарно-эпидемиологическому надзору (контролю), утвержденных решением Комиссии Таможенного союза от 23 сентября 2011 года № 797.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39. Медицинский работник организации образования обеспечивает контроль за соблюдением требований санитарных правил; периодически проводит 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контроль за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Работники, имеющие порезы, ссадины, ожоги, фурункулы, нагноения, не допускаются к работе.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40. Повар обеспечивает соблюдение условий</w:t>
      </w:r>
      <w:r w:rsidRPr="00CF40C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хранения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</w:t>
      </w:r>
    </w:p>
    <w:p w:rsidR="00CF40C1" w:rsidRPr="00CF40C1" w:rsidRDefault="00CF40C1" w:rsidP="00CF40C1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CF40C1">
        <w:rPr>
          <w:rFonts w:ascii="Arial" w:eastAsia="Times New Roman" w:hAnsi="Arial" w:cs="Arial"/>
          <w:sz w:val="27"/>
          <w:szCs w:val="27"/>
          <w:lang w:eastAsia="ru-RU"/>
        </w:rPr>
        <w:t>Глава 3. Порядок организации питания в организациях здравоохранения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контроль за качеством пищи и организацию обслуживания больных;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вопросов руководства лечебным питанием и подготовки кадров;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44. Назначение диеты больному производится в индивидуальном порядке в соответствии с конкретными задачами комплексного лечения.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  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47. Меню-раскладка составляется согласно сводному семидневному меню (осенне-летнее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заведующим производства (шеф-поваром). 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48. На основании итоговых данных выписывается требование на выдачу продуктов питания со склада (кладовой).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49. В назначенную диету вносятся некоторые поправки в зависимости от индивидуальности больного и характера течения патологического процесса. 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 </w:t>
      </w:r>
      <w:hyperlink r:id="rId14" w:anchor="z22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приложении 3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(пяти-шестиразового питания).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53. Время питания больных определяется количеством приемов пищи и общим распорядком дня в организациях здравоохранения.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  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 </w:t>
      </w:r>
      <w:hyperlink r:id="rId15" w:anchor="z0" w:history="1">
        <w:r w:rsidRPr="00CF40C1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постановлением</w:t>
        </w:r>
      </w:hyperlink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организации лечебного питания. 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60. В задачи Совета входит совершенствование лечебного питания, контроль за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63. Заведование больничной кухней возлагается на диетическую сестру, работающую под медицинским руководством врача. 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 медицинского осмотра.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64. Непосредственное приготовление пищи проводится под руководством старшего повара-бригадира.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заведующим производства (или шеф-поваром) вне зависимости от пробы, производимой дежурным врачом.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67. В план обучения производственного персонала кухни включаются занятия по санитарному минимуму.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69. Не допускается: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70. В пищеблоках организации здравоохранения строго соблюдаются: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2) требования по условиям и срокам хранения пищевых продуктов;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3) требования об обязательных профилактических и медицинских обследованиях работников пищеблока, раздаточных и буфетных.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71. При отсутствии централизованной доставки пищевых продуктов для их перевозки выделяют специальный транспорт (крытый). Не допускается </w:t>
      </w: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использование специального транспорта для других целей (перевозка белья, оборудования, больных).</w:t>
      </w:r>
    </w:p>
    <w:p w:rsidR="00CF40C1" w:rsidRPr="00CF40C1" w:rsidRDefault="00CF40C1" w:rsidP="00CF40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Дата принятия акта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21.12.2020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Дата изменения акта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21.12.2020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Информация об официальном опубликовании акта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Эталонный контрольный банк НПА РК в электронном виде, 25.12.2020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Регистрационный номер НПА, присвоенный нормотворческим органом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Эталонный контрольный банк НПА РК в электронном виде, 25.12.2020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Регистрационный номер акта в Государственном реестре нормативных правовых актов Республики Казахстан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150249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Номер государственной регистрации НПА в органах юстиции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21857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Дата регистрации в МЮ</w:t>
      </w:r>
    </w:p>
    <w:p w:rsidR="00CF40C1" w:rsidRPr="00CF40C1" w:rsidRDefault="00CF40C1" w:rsidP="00CF40C1">
      <w:pPr>
        <w:shd w:val="clear" w:color="auto" w:fill="FFFFFF"/>
        <w:spacing w:line="288" w:lineRule="atLeast"/>
        <w:rPr>
          <w:rFonts w:ascii="Arial" w:eastAsia="Times New Roman" w:hAnsi="Arial" w:cs="Arial"/>
          <w:color w:val="1565C0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65C0"/>
          <w:sz w:val="24"/>
          <w:szCs w:val="24"/>
          <w:lang w:eastAsia="ru-RU"/>
        </w:rPr>
        <w:t>22.12.2020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Орган, принявший акт</w:t>
      </w:r>
    </w:p>
    <w:p w:rsidR="00CF40C1" w:rsidRPr="00CF40C1" w:rsidRDefault="00CF40C1" w:rsidP="00CF40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Республики Казахстан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Форма акта</w:t>
      </w:r>
    </w:p>
    <w:p w:rsidR="00CF40C1" w:rsidRPr="00CF40C1" w:rsidRDefault="00CF40C1" w:rsidP="00CF40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ПриказСтандарт</w:t>
      </w:r>
    </w:p>
    <w:p w:rsidR="00CF40C1" w:rsidRPr="00CF40C1" w:rsidRDefault="00CF40C1" w:rsidP="00C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0"/>
          <w:szCs w:val="20"/>
          <w:lang w:eastAsia="ru-RU"/>
        </w:rPr>
        <w:t>Сфера правоотношений</w:t>
      </w:r>
    </w:p>
    <w:p w:rsidR="00CF40C1" w:rsidRPr="00CF40C1" w:rsidRDefault="00CF40C1" w:rsidP="00CF40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ЗдравоохранениеОбpазованиеОбщественное питание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5D737" wp14:editId="4D4E2927">
            <wp:extent cx="1701165" cy="2371090"/>
            <wp:effectExtent l="0" t="0" r="0" b="0"/>
            <wp:docPr id="1" name="Рисунок 1" descr="https://www.gov.kz/static/media/ornaments_1.db409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static/media/ornaments_1.db409e5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C1" w:rsidRPr="00CF40C1" w:rsidRDefault="00CF40C1" w:rsidP="00CF40C1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"http://government.kz/public/ru/government/composition"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Структура Правительства РК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"http://www.parlam.kz/ru"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Сайт Парламента РК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"https://primeminister.kz/ru"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Сайт Премьер-Министра РК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"https://elbasy.kz/ru"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Сайт Первого Президента РК – Елбасы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"http://www.akorda.kz/ru"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Сайт Президента РК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"http://www.akorda.kz/ru/addresses"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Послания Президента РК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"http://www.akorda.kz/ru/state_symbols/about_state_symbols"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Государственные символы РК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F40C1" w:rsidRPr="00CF40C1" w:rsidRDefault="00CF40C1" w:rsidP="00CF40C1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"https://www.gov.kz/legalacts/1" \o "" \t "_blank" </w:instrText>
      </w: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Законодательство</w:t>
      </w:r>
    </w:p>
    <w:p w:rsidR="00CF40C1" w:rsidRPr="00CF40C1" w:rsidRDefault="00CF40C1" w:rsidP="00CF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F69FD" w:rsidRDefault="00AF69FD">
      <w:bookmarkStart w:id="2" w:name="_GoBack"/>
      <w:bookmarkEnd w:id="2"/>
    </w:p>
    <w:sectPr w:rsidR="00AF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28"/>
    <w:rsid w:val="00413628"/>
    <w:rsid w:val="00AF69FD"/>
    <w:rsid w:val="00C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2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41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24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98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128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83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6109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70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3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18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250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22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278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18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028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397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01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84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15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2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1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rus/docs/K2000000360" TargetMode="External"/><Relationship Id="rId13" Type="http://schemas.openxmlformats.org/officeDocument/2006/relationships/hyperlink" Target="https://www.gov.kz/rus/docs/H10T00002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kz/rus/docs/V2000021857" TargetMode="External"/><Relationship Id="rId12" Type="http://schemas.openxmlformats.org/officeDocument/2006/relationships/hyperlink" Target="https://www.gov.kz/rus/docs/Z070000301_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gov.kz/rus/docs/K2000000360" TargetMode="External"/><Relationship Id="rId11" Type="http://schemas.openxmlformats.org/officeDocument/2006/relationships/hyperlink" Target="https://www.gov.kz/rus/docs/H10T0000299" TargetMode="External"/><Relationship Id="rId5" Type="http://schemas.openxmlformats.org/officeDocument/2006/relationships/hyperlink" Target="https://www.gov.kz/memleket/entities/aqmola-edu/documents" TargetMode="External"/><Relationship Id="rId15" Type="http://schemas.openxmlformats.org/officeDocument/2006/relationships/hyperlink" Target="https://www.gov.kz/rus/docs/P020000128_" TargetMode="External"/><Relationship Id="rId10" Type="http://schemas.openxmlformats.org/officeDocument/2006/relationships/hyperlink" Target="https://www.gov.kz/rus/docs/P1200000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rus/docs/P1200000320" TargetMode="External"/><Relationship Id="rId14" Type="http://schemas.openxmlformats.org/officeDocument/2006/relationships/hyperlink" Target="https://www.gov.kz/rus/docs/H12EV0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4632</Words>
  <Characters>26409</Characters>
  <Application>Microsoft Office Word</Application>
  <DocSecurity>0</DocSecurity>
  <Lines>220</Lines>
  <Paragraphs>61</Paragraphs>
  <ScaleCrop>false</ScaleCrop>
  <Company/>
  <LinksUpToDate>false</LinksUpToDate>
  <CharactersWithSpaces>30980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2022-02-15T03:51:00Z</dcterms:created>
  <dcterms:modified xsi:type="dcterms:W3CDTF">2022-02-15T03:51:00Z</dcterms:modified>
</cp:coreProperties>
</file>